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17/2023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PSDB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/>
              <w:jc w:val="both"/>
              <w:rPr/>
            </w:pPr>
            <w:r>
              <w:rPr>
                <w:b/>
                <w:bCs/>
                <w:color w:val="000000" w:themeColor="text1"/>
                <w:sz w:val="24"/>
                <w:szCs w:val="24"/>
                <w:shd w:fill="FFFFFF" w:val="clear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08.007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13.392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/>
              <w:jc w:val="both"/>
              <w:rPr/>
            </w:pPr>
            <w:r>
              <w:rPr>
                <w:b/>
                <w:bCs/>
                <w:color w:val="000000" w:themeColor="text1"/>
                <w:sz w:val="24"/>
                <w:szCs w:val="24"/>
                <w:shd w:fill="FFFFFF" w:val="clear"/>
              </w:rPr>
              <w:t>151 - DESENVOLVIMENTO DA CULTURA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/>
              <w:jc w:val="both"/>
              <w:rPr/>
            </w:pPr>
            <w:r>
              <w:rPr>
                <w:b/>
                <w:bCs/>
                <w:color w:val="000000" w:themeColor="text1"/>
                <w:sz w:val="24"/>
                <w:szCs w:val="24"/>
                <w:shd w:fill="FFFFFF" w:val="clear"/>
              </w:rPr>
              <w:t>13.392.151.0.009 - APOIO A ENTIDADES CULTURAIS (SUBVENÇÕES, CONTRIBUIÇÕES OU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3.3.50.41 -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 xml:space="preserve">R$ </w:t>
            </w:r>
            <w:r>
              <w:rPr>
                <w:rFonts w:cs="Arial"/>
                <w:b/>
                <w:bCs/>
                <w:sz w:val="24"/>
                <w:szCs w:val="24"/>
              </w:rPr>
              <w:t>25.000,00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R$ 25.000,00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C.T.G. Missioneiro dos Pampas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Esta emenda à despesa visa a realocar recursos para repasse financeiro ao CTG Missioneiro dos Pampas, a fim de revitalizar a Biblioteca Roberto Araújo, a qual teve seu acervo recadastrado e o espaço reorganizado, contando atualmente com um total de 324 obras, entre elas livros didáticos de história e geografia, muitos necessitando de novas edições e o enriquecimento com obras atualizadas, que atraiam o interesse do público-alvo.</w:t>
            </w:r>
          </w:p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A revitalização engloba a aquisição de novos livros para o acervo bibliográfico, jogos, brinquedos folclóricos, uma impressora, um notebook e uma prateleira de canto para os livros.</w:t>
            </w:r>
          </w:p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A biblioteca é essencial para a realização dos projetos e atividades desenvolvidas pelo CTG junto às escolas públicas e privadas do nosso município e região, sendo  relevantes os recursos a serem disponibilizados, tanto para a preparação do material, quanto para a aplicação das oficinas, jogos, contação de histórias, brinquedos e brincadeiras folclóricas, envolvendo também, lendas, mitos, símbolos, histórias, contos, costumes, indumentária, entre outros aspectos da cultura gaúcha.</w:t>
            </w:r>
          </w:p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O impacto social do projeto será principalmente por proporcionar um espaço de cultura e educação, estimulando a leitura de obras da literatura gaúcha, fomentando o gosto por nossa cultura, desenvolvendo a busca e valorização do conhecimento. Desta forma, torna-se um local com fontes de pesquisa atrativas, confiáveis e atualizadas, para estudos referentes a cultura gaúcha, história, geografia do Rio Grande do Sul, tradicionalismo e origem do povo gaúcho.</w:t>
            </w:r>
          </w:p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O espaço também viabiliza uma vivência cidadã, embasada no convívio de diferentes gerações, estimulando o resgate de valores humanísticos e tradicionais, tão carente no atual momento em que estamos vivendo.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>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Jair Locatelli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Ingomar Sandtner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Nader Umar</w:t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PSDB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Application>LibreOffice/7.4.2.3$Windows_X86_64 LibreOffice_project/382eef1f22670f7f4118c8c2dd222ec7ad009daf</Application>
  <AppVersion>15.0000</AppVersion>
  <Pages>2</Pages>
  <Words>438</Words>
  <Characters>2602</Characters>
  <CharactersWithSpaces>2985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2023-11-22T15:34:30Z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